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31 августа 2012 г. N 25340</w:t>
      </w:r>
    </w:p>
    <w:p w:rsidR="004F575F" w:rsidRDefault="004F575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августа 2012 г. N 39н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МЕТОДИКИ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РАСЧЕТА СКИДОК И НАДБАВОК К СТРАХОВЫМ ТАРИФАМ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ОБЯЗАТЕЛЬНОЕ СОЦИАЛЬНОЕ СТРАХОВАНИЕ ОТ НЕСЧАСТНЫХ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СЛУЧАЕВ НА ПРОИЗВОДСТВЕ И ПРОФЕССИОНАЛЬНЫХ ЗАБОЛЕВАНИЙ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20.02.2014 N 103н)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30 мая 2012 г. N 524 "Об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заболеваний" (Собрание законодательства Российской Федерации, 2012, N 23, ст. 3021) приказываю: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по согласованию с Министерством финансов Российской Федерации и Фондом социального страхования Российской Федерации Методику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 согласно </w:t>
      </w:r>
      <w:hyperlink w:anchor="Par33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01.08.2012 N 39н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МЕТОДИКА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РАСЧЕТА СКИДОК И НАДБАВОК К СТРАХОВЫМ ТАРИФАМ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ОБЯЗАТЕЛЬНОЕ СОЦИАЛЬНОЕ СТРАХОВАНИЕ ОТ НЕСЧАСТНЫХ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СЛУЧАЕВ НА ПРОИЗВОДСТВЕ И ПРОФЕССИОНАЛЬНЫХ ЗАБОЛЕВАНИЙ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20.02.2014 N 103н)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>I. Общие положения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Настоящая Методика расчета скидок и надбавок к страховым тарифам на обязательное социальное страхование от несчастных случаев на производстве и профессиональных </w:t>
      </w:r>
      <w:r>
        <w:rPr>
          <w:rFonts w:ascii="Calibri" w:hAnsi="Calibri" w:cs="Calibri"/>
        </w:rPr>
        <w:lastRenderedPageBreak/>
        <w:t xml:space="preserve">заболеваний (далее - Методика) разработана во исполнение </w:t>
      </w:r>
      <w:hyperlink r:id="rId9" w:history="1">
        <w:r>
          <w:rPr>
            <w:rFonts w:ascii="Calibri" w:hAnsi="Calibri" w:cs="Calibri"/>
            <w:color w:val="0000FF"/>
          </w:rPr>
          <w:t>пункта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30 мая 2012 г. N 524 "Об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</w:t>
      </w:r>
      <w:proofErr w:type="gramEnd"/>
      <w:r>
        <w:rPr>
          <w:rFonts w:ascii="Calibri" w:hAnsi="Calibri" w:cs="Calibri"/>
        </w:rPr>
        <w:t xml:space="preserve"> профессиональных заболеваний" в целях экономической заинтересованности страхователей в снижении профессионального риска.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Скидки и надбавки к страховым тарифам на обязательное социальное страхование от несчастных случаев на производстве и профессиональных заболеваний (далее - скидки и надбавки) рассчитываются Фондом социального страхования Российской Федерации (далее - страховщик) в текущем финансовом году и устанавливаются на очередной финансовый год в размерах не более 40 процентов установленного страхового тарифа по итогам деятельности страхователя за три года, предшествующих текущему, исходя из</w:t>
      </w:r>
      <w:proofErr w:type="gramEnd"/>
      <w:r>
        <w:rPr>
          <w:rFonts w:ascii="Calibri" w:hAnsi="Calibri" w:cs="Calibri"/>
        </w:rPr>
        <w:t xml:space="preserve"> следующих основных показателей с учетом состояния охраны труда на основании сведений о результатах проведения специальной оценки условий труда и сведений о проведенных обязательных предварительных и периодических медицинских осмотрах по состоянию на 1 января текущего календарного года: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20.02.2014 N 103н)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6"/>
      <w:bookmarkEnd w:id="5"/>
      <w:r>
        <w:rPr>
          <w:rFonts w:ascii="Calibri" w:hAnsi="Calibri" w:cs="Calibri"/>
        </w:rPr>
        <w:t>2.1. Показатель "a" - отношение суммы обеспечения по страхованию в связи со всеми произошедшими у страхователя страховыми случаями к начисленной сумме страховых взносов по обязательному социальному страхованию от несчастных случаев на производстве и профессиональных заболеваний (далее - страховые взносы).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"a" рассчитывается по следующей формуле: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= O / V,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где O - сумма обеспечения по страхованию, произведенного за три года, предшествующих текущему, в которые включаются:</w:t>
      </w:r>
      <w:proofErr w:type="gramEnd"/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суммы выплаченных пособий по временной нетрудоспособности, произведенные страхователем;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суммы страховых выплат и оплаты дополнительных расходов на медицинскую, социальную и профессиональную реабилитацию, произведенные территориальным органом страховщика в связи со страховыми случаями, произошедшими у страхователя за три года, предшествующие текущему (руб.);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- сумма начисленных страховых взносов за три года, предшествующих текущему (руб.);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5"/>
      <w:bookmarkEnd w:id="6"/>
      <w:r>
        <w:rPr>
          <w:rFonts w:ascii="Calibri" w:hAnsi="Calibri" w:cs="Calibri"/>
        </w:rPr>
        <w:t>2.2. показатель "в" - количество страховых случаев у страхователя, на тысячу работающих: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"в" рассчитывается по следующей формуле: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= K / N * 1000,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K - количество случаев, признанных страховыми за три года, предшествующих </w:t>
      </w:r>
      <w:proofErr w:type="gramStart"/>
      <w:r>
        <w:rPr>
          <w:rFonts w:ascii="Calibri" w:hAnsi="Calibri" w:cs="Calibri"/>
        </w:rPr>
        <w:t>текущему</w:t>
      </w:r>
      <w:proofErr w:type="gramEnd"/>
      <w:r>
        <w:rPr>
          <w:rFonts w:ascii="Calibri" w:hAnsi="Calibri" w:cs="Calibri"/>
        </w:rPr>
        <w:t>;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 - среднесписочная численность работающих за три года, предшествующих </w:t>
      </w:r>
      <w:proofErr w:type="gramStart"/>
      <w:r>
        <w:rPr>
          <w:rFonts w:ascii="Calibri" w:hAnsi="Calibri" w:cs="Calibri"/>
        </w:rPr>
        <w:t>текущему</w:t>
      </w:r>
      <w:proofErr w:type="gramEnd"/>
      <w:r>
        <w:rPr>
          <w:rFonts w:ascii="Calibri" w:hAnsi="Calibri" w:cs="Calibri"/>
        </w:rPr>
        <w:t xml:space="preserve"> (чел.);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2"/>
      <w:bookmarkEnd w:id="7"/>
      <w:r>
        <w:rPr>
          <w:rFonts w:ascii="Calibri" w:hAnsi="Calibri" w:cs="Calibri"/>
        </w:rPr>
        <w:t>2.3. показатель "c" - количество дней временной нетрудоспособности у страхователя на один несчастный случай, признанный страховым, исключая случаи со смертельным исходом.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"c" рассчитывается по следующей формуле: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 = T / S,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T - число дней временной нетрудоспособности в связи с несчастными случаями, признанными страховыми, за три года, предшествующих </w:t>
      </w:r>
      <w:proofErr w:type="gramStart"/>
      <w:r>
        <w:rPr>
          <w:rFonts w:ascii="Calibri" w:hAnsi="Calibri" w:cs="Calibri"/>
        </w:rPr>
        <w:t>текущему</w:t>
      </w:r>
      <w:proofErr w:type="gramEnd"/>
      <w:r>
        <w:rPr>
          <w:rFonts w:ascii="Calibri" w:hAnsi="Calibri" w:cs="Calibri"/>
        </w:rPr>
        <w:t>;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 - количество несчастных случаев, признанных страховыми, исключая случаи со смертельным исходом, за три года, предшествующих </w:t>
      </w:r>
      <w:proofErr w:type="gramStart"/>
      <w:r>
        <w:rPr>
          <w:rFonts w:ascii="Calibri" w:hAnsi="Calibri" w:cs="Calibri"/>
        </w:rPr>
        <w:t>текущему</w:t>
      </w:r>
      <w:proofErr w:type="gramEnd"/>
      <w:r>
        <w:rPr>
          <w:rFonts w:ascii="Calibri" w:hAnsi="Calibri" w:cs="Calibri"/>
        </w:rPr>
        <w:t>;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2.4. q1 - коэффициент проведения специальной оценки условий труда у страхователя рассчитывается как отношение разницы числа рабочих мест, в отношении которых проведена специальная оценка условий труда, и числа рабочих мест, условия труда на которых отнесены к </w:t>
      </w:r>
      <w:r>
        <w:rPr>
          <w:rFonts w:ascii="Calibri" w:hAnsi="Calibri" w:cs="Calibri"/>
        </w:rPr>
        <w:lastRenderedPageBreak/>
        <w:t>вредным или опасным условиям труда по результатам проведения специальной оценки условий труда, к общему количеству рабочих мест страхователя.</w:t>
      </w:r>
      <w:proofErr w:type="gramEnd"/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 q1 рассчитывается по следующей формуле: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q1 = (q11 - q13) / q12,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где: q11 - количество рабочих мест, в отношении которых проведена специальная оценка условий труда на 1 января текущего календарного года организацией, проводящей специальную оценку условий труда, в установленном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порядке;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q12 - общее количество рабочих мест;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q13 - количество рабочих мест, условия труда на которых отнесены к вредным или опасным условиям труда по результатам проведения специальной оценки условий труда;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2.4 в ред.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20.02.2014 N 103н)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q2 - коэффициент проведения обязательных предварительных и периодических медицинских осмотров у страхователя, рассчитывается как отношение числа работников, прошедших обязательные предварительные и периодические медицинские осмотры, к числу всех работников, подлежащих данным видам осмотра, у страхователя.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 q2 рассчитывается по следующей формуле: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q2 = q21 / q22,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q21 - число работников, прошедших обязательные предварительные и периодические медицинские осмотры в соответствии с действующими нормативно-правовыми актами на 1 января текущего календарного года;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q22 - число всех работников, подлежащих данным видам осмотра, у страхователя.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расчета коэффициентов используются сведения о результатах проведения специальной оценки условий труда и проведенных обязательных предварительных и периодических медицинских осмотрах, отраженных страхователем в соответствующем разделе </w:t>
      </w:r>
      <w:hyperlink r:id="rId13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</w:t>
      </w:r>
      <w:proofErr w:type="gramEnd"/>
      <w:r>
        <w:rPr>
          <w:rFonts w:ascii="Calibri" w:hAnsi="Calibri" w:cs="Calibri"/>
        </w:rPr>
        <w:t xml:space="preserve"> также по расходам на выплату страхового обеспечения,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&lt;1&gt;.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20.02.2014 N 103н)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5" w:history="1">
        <w:r>
          <w:rPr>
            <w:rFonts w:ascii="Calibri" w:hAnsi="Calibri" w:cs="Calibri"/>
            <w:color w:val="0000FF"/>
          </w:rPr>
          <w:t>Пункт 1 статьи 24</w:t>
        </w:r>
      </w:hyperlink>
      <w:r>
        <w:rPr>
          <w:rFonts w:ascii="Calibri" w:hAnsi="Calibri" w:cs="Calibri"/>
        </w:rP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2003, N 17, ст. 1554; 2009, N 30, ст. 3739; 2012, N 10, ст. 1164).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</w:t>
      </w:r>
      <w:proofErr w:type="gramStart"/>
      <w:r>
        <w:rPr>
          <w:rFonts w:ascii="Calibri" w:hAnsi="Calibri" w:cs="Calibri"/>
        </w:rPr>
        <w:t>уровня проведения специальной оценки условий труда</w:t>
      </w:r>
      <w:proofErr w:type="gramEnd"/>
      <w:r>
        <w:rPr>
          <w:rFonts w:ascii="Calibri" w:hAnsi="Calibri" w:cs="Calibri"/>
        </w:rPr>
        <w:t xml:space="preserve"> и уровня проведения обязательных предварительных и периодических медицинских осмотров рассчитываются и округляются до одного знака после запятой;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20.02.2014 N 103н)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основные показатели рассчитываются на основании: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отчетных данных соответствующего раздела </w:t>
      </w:r>
      <w:hyperlink r:id="rId17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>
        <w:rPr>
          <w:rFonts w:ascii="Calibri" w:hAnsi="Calibri" w:cs="Calibri"/>
        </w:rPr>
        <w:t xml:space="preserve"> в сфере социального страхования, представленных страхователем за три финансовых года, предшествующих </w:t>
      </w:r>
      <w:proofErr w:type="gramStart"/>
      <w:r>
        <w:rPr>
          <w:rFonts w:ascii="Calibri" w:hAnsi="Calibri" w:cs="Calibri"/>
        </w:rPr>
        <w:t>текущему</w:t>
      </w:r>
      <w:proofErr w:type="gramEnd"/>
      <w:r>
        <w:rPr>
          <w:rFonts w:ascii="Calibri" w:hAnsi="Calibri" w:cs="Calibri"/>
        </w:rPr>
        <w:t>;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сведений о страховых случаях, произошедших у страхователя за три календарных года, </w:t>
      </w:r>
      <w:r>
        <w:rPr>
          <w:rFonts w:ascii="Calibri" w:hAnsi="Calibri" w:cs="Calibri"/>
        </w:rPr>
        <w:lastRenderedPageBreak/>
        <w:t xml:space="preserve">предшествующих </w:t>
      </w:r>
      <w:proofErr w:type="gramStart"/>
      <w:r>
        <w:rPr>
          <w:rFonts w:ascii="Calibri" w:hAnsi="Calibri" w:cs="Calibri"/>
        </w:rPr>
        <w:t>текущему</w:t>
      </w:r>
      <w:proofErr w:type="gramEnd"/>
      <w:r>
        <w:rPr>
          <w:rFonts w:ascii="Calibri" w:hAnsi="Calibri" w:cs="Calibri"/>
        </w:rPr>
        <w:t>;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данных личных (учетных) дел пострадавших по страховым случаям, произошедшим у страхователя за три календарных года, предшествующих </w:t>
      </w:r>
      <w:proofErr w:type="gramStart"/>
      <w:r>
        <w:rPr>
          <w:rFonts w:ascii="Calibri" w:hAnsi="Calibri" w:cs="Calibri"/>
        </w:rPr>
        <w:t>текущему</w:t>
      </w:r>
      <w:proofErr w:type="gramEnd"/>
      <w:r>
        <w:rPr>
          <w:rFonts w:ascii="Calibri" w:hAnsi="Calibri" w:cs="Calibri"/>
        </w:rPr>
        <w:t>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4"/>
      <w:bookmarkEnd w:id="8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Значения основных показателей, указанных в </w:t>
      </w:r>
      <w:hyperlink w:anchor="Par4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Методики, по видам экономической деятельности, соответствующие Общероссийскому классификатору видов экономической деятельности </w:t>
      </w:r>
      <w:hyperlink r:id="rId18" w:history="1">
        <w:r>
          <w:rPr>
            <w:rFonts w:ascii="Calibri" w:hAnsi="Calibri" w:cs="Calibri"/>
            <w:color w:val="0000FF"/>
          </w:rPr>
          <w:t>(ОКВЭД)</w:t>
        </w:r>
      </w:hyperlink>
      <w:r>
        <w:rPr>
          <w:rFonts w:ascii="Calibri" w:hAnsi="Calibri" w:cs="Calibri"/>
        </w:rPr>
        <w:t xml:space="preserve">, рассчитываются и утверждаются страховщиком по согласованию с Министерством труда и социальной защиты Российской Федерации в соответствии </w:t>
      </w:r>
      <w:hyperlink r:id="rId19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утвержденных постановлением</w:t>
      </w:r>
      <w:proofErr w:type="gramEnd"/>
      <w:r>
        <w:rPr>
          <w:rFonts w:ascii="Calibri" w:hAnsi="Calibri" w:cs="Calibri"/>
        </w:rPr>
        <w:t xml:space="preserve"> Правительства Российской Федерации от 30 мая 2012 г. N 524, не позднее 1 июня текущего календарного года.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Значения основных показателей по виду экономической деятельности рассчитываются в текущем календарном году по итогам деятельности страхователей за три предшествующих года и применяются для расчета скидки или надбавки на очередной год, следующий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текущим.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значений основных показателей определяется с точностью до двух знаков после запятой.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7"/>
      <w:bookmarkEnd w:id="9"/>
      <w:r>
        <w:rPr>
          <w:rFonts w:ascii="Calibri" w:hAnsi="Calibri" w:cs="Calibri"/>
        </w:rPr>
        <w:t xml:space="preserve">4. Скидка или надбавка устанавливается страховщиком в случае, если все указанные в </w:t>
      </w:r>
      <w:hyperlink w:anchor="Par46" w:history="1">
        <w:r>
          <w:rPr>
            <w:rFonts w:ascii="Calibri" w:hAnsi="Calibri" w:cs="Calibri"/>
            <w:color w:val="0000FF"/>
          </w:rPr>
          <w:t>пунктах 2.1</w:t>
        </w:r>
      </w:hyperlink>
      <w:r>
        <w:rPr>
          <w:rFonts w:ascii="Calibri" w:hAnsi="Calibri" w:cs="Calibri"/>
        </w:rPr>
        <w:t xml:space="preserve">, </w:t>
      </w:r>
      <w:hyperlink w:anchor="Par55" w:history="1">
        <w:r>
          <w:rPr>
            <w:rFonts w:ascii="Calibri" w:hAnsi="Calibri" w:cs="Calibri"/>
            <w:color w:val="0000FF"/>
          </w:rPr>
          <w:t>2.2</w:t>
        </w:r>
      </w:hyperlink>
      <w:r>
        <w:rPr>
          <w:rFonts w:ascii="Calibri" w:hAnsi="Calibri" w:cs="Calibri"/>
        </w:rPr>
        <w:t xml:space="preserve"> и </w:t>
      </w:r>
      <w:hyperlink w:anchor="Par62" w:history="1">
        <w:r>
          <w:rPr>
            <w:rFonts w:ascii="Calibri" w:hAnsi="Calibri" w:cs="Calibri"/>
            <w:color w:val="0000FF"/>
          </w:rPr>
          <w:t>2.3</w:t>
        </w:r>
      </w:hyperlink>
      <w:r>
        <w:rPr>
          <w:rFonts w:ascii="Calibri" w:hAnsi="Calibri" w:cs="Calibri"/>
        </w:rPr>
        <w:t xml:space="preserve"> показатели (a, b, c) меньше (скидка) или больше (надбавка) утвержденных в соответствии с </w:t>
      </w:r>
      <w:hyperlink w:anchor="Par94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Методики значений трех аналогичных показателей по виду экономической деятельности</w:t>
      </w:r>
      <w:proofErr w:type="gramStart"/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21.75pt">
            <v:imagedata r:id="rId20" o:title=""/>
          </v:shape>
        </w:pic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position w:val="-14"/>
        </w:rPr>
        <w:pict>
          <v:shape id="_x0000_i1026" type="#_x0000_t75" style="width:27.75pt;height:21.75pt">
            <v:imagedata r:id="rId21" o:title=""/>
          </v:shape>
        </w:pic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position w:val="-14"/>
        </w:rPr>
        <w:pict>
          <v:shape id="_x0000_i1027" type="#_x0000_t75" style="width:26.25pt;height:21.75pt">
            <v:imagedata r:id="rId22" o:title=""/>
          </v:shape>
        </w:pict>
      </w:r>
      <w:r>
        <w:rPr>
          <w:rFonts w:ascii="Calibri" w:hAnsi="Calibri" w:cs="Calibri"/>
        </w:rPr>
        <w:t xml:space="preserve">), </w:t>
      </w:r>
      <w:proofErr w:type="gramEnd"/>
      <w:r>
        <w:rPr>
          <w:rFonts w:ascii="Calibri" w:hAnsi="Calibri" w:cs="Calibri"/>
        </w:rPr>
        <w:t>которому соответствует основной вид деятельности страхователя.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Размер скидки или надбавки устанавливается в процентах к страховому тарифу с точностью до целых значений.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00"/>
      <w:bookmarkEnd w:id="10"/>
      <w:r>
        <w:rPr>
          <w:rFonts w:ascii="Calibri" w:hAnsi="Calibri" w:cs="Calibri"/>
        </w:rPr>
        <w:t>II. Расчет и установление надбавок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Для страхователей, показатели которых соответствуют условиям установления надбавки, предусмотренным </w:t>
      </w:r>
      <w:hyperlink w:anchor="Par97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Методики, размер надбавки (Р) рассчитывается по следующей формуле: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104"/>
      <w:bookmarkEnd w:id="11"/>
      <w:r>
        <w:rPr>
          <w:rFonts w:ascii="Calibri" w:hAnsi="Calibri" w:cs="Calibri"/>
          <w:position w:val="-18"/>
        </w:rPr>
        <w:pict>
          <v:shape id="_x0000_i1028" type="#_x0000_t75" style="width:349.5pt;height:26.25pt">
            <v:imagedata r:id="rId23" o:title=""/>
          </v:shape>
        </w:pict>
      </w:r>
      <w:r>
        <w:rPr>
          <w:rFonts w:ascii="Calibri" w:hAnsi="Calibri" w:cs="Calibri"/>
        </w:rPr>
        <w:t xml:space="preserve"> (1),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  <w:position w:val="-14"/>
        </w:rPr>
        <w:pict>
          <v:shape id="_x0000_i1029" type="#_x0000_t75" style="width:21.75pt;height:21.75pt">
            <v:imagedata r:id="rId24" o:title=""/>
          </v:shape>
        </w:pic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position w:val="-14"/>
        </w:rPr>
        <w:pict>
          <v:shape id="_x0000_i1030" type="#_x0000_t75" style="width:21.75pt;height:21.75pt">
            <v:imagedata r:id="rId25" o:title=""/>
          </v:shape>
        </w:pic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position w:val="-14"/>
        </w:rPr>
        <w:pict>
          <v:shape id="_x0000_i1031" type="#_x0000_t75" style="width:21.75pt;height:21.75pt">
            <v:imagedata r:id="rId26" o:title=""/>
          </v:shape>
        </w:pict>
      </w:r>
      <w:r>
        <w:rPr>
          <w:rFonts w:ascii="Calibri" w:hAnsi="Calibri" w:cs="Calibri"/>
        </w:rPr>
        <w:t xml:space="preserve"> - показатели "a", "b", "c", рассчитанные для каждого страхователя;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2" type="#_x0000_t75" style="width:26.25pt;height:21.75pt">
            <v:imagedata r:id="rId20" o:title=""/>
          </v:shape>
        </w:pic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position w:val="-14"/>
        </w:rPr>
        <w:pict>
          <v:shape id="_x0000_i1033" type="#_x0000_t75" style="width:27.75pt;height:21.75pt">
            <v:imagedata r:id="rId21" o:title=""/>
          </v:shape>
        </w:pic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position w:val="-14"/>
        </w:rPr>
        <w:pict>
          <v:shape id="_x0000_i1034" type="#_x0000_t75" style="width:26.25pt;height:21.75pt">
            <v:imagedata r:id="rId22" o:title=""/>
          </v:shape>
        </w:pict>
      </w:r>
      <w:r>
        <w:rPr>
          <w:rFonts w:ascii="Calibri" w:hAnsi="Calibri" w:cs="Calibri"/>
        </w:rPr>
        <w:t xml:space="preserve"> - значения показателей по виду экономической деятельности, которому соответствует основной вид деятельности страхователя, утвержденные в соответствии с </w:t>
      </w:r>
      <w:hyperlink w:anchor="Par94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Методики.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расчетных значениях (1 - q1) и (или) (1 - q2), равных нулю, значения по данным показателям устанавливаются в размере 0,1 соответственно.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0 &lt; 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&lt; 40% надбавка к страховому тарифу устанавливается в размере полученного по </w:t>
      </w:r>
      <w:hyperlink w:anchor="Par104" w:history="1">
        <w:r>
          <w:rPr>
            <w:rFonts w:ascii="Calibri" w:hAnsi="Calibri" w:cs="Calibri"/>
            <w:color w:val="0000FF"/>
          </w:rPr>
          <w:t>формуле (1)</w:t>
        </w:r>
      </w:hyperlink>
      <w:r>
        <w:rPr>
          <w:rFonts w:ascii="Calibri" w:hAnsi="Calibri" w:cs="Calibri"/>
        </w:rPr>
        <w:t xml:space="preserve"> значения (с учетом округления).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position w:val="-4"/>
        </w:rPr>
        <w:pict>
          <v:shape id="_x0000_i1035" type="#_x0000_t75" style="width:11.25pt;height:13.5pt">
            <v:imagedata r:id="rId27" o:title=""/>
          </v:shape>
        </w:pict>
      </w:r>
      <w:r>
        <w:rPr>
          <w:rFonts w:ascii="Calibri" w:hAnsi="Calibri" w:cs="Calibri"/>
        </w:rPr>
        <w:t xml:space="preserve"> 40% надбавка устанавливается в размере 40 процентов.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112"/>
      <w:bookmarkEnd w:id="12"/>
      <w:r>
        <w:rPr>
          <w:rFonts w:ascii="Calibri" w:hAnsi="Calibri" w:cs="Calibri"/>
        </w:rPr>
        <w:t>III. Расчет и установление скидок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Для страхователей, показатели которых соответствуют условиям установления скидки, предусмотренным пунктом 4 Методики, размер скидки (С) рассчитывается по следующей формуле: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116"/>
      <w:bookmarkEnd w:id="13"/>
      <w:r>
        <w:rPr>
          <w:rFonts w:ascii="Calibri" w:hAnsi="Calibri" w:cs="Calibri"/>
          <w:position w:val="-18"/>
        </w:rPr>
        <w:pict>
          <v:shape id="_x0000_i1036" type="#_x0000_t75" style="width:320.25pt;height:26.25pt">
            <v:imagedata r:id="rId28" o:title=""/>
          </v:shape>
        </w:pict>
      </w:r>
      <w:r>
        <w:rPr>
          <w:rFonts w:ascii="Calibri" w:hAnsi="Calibri" w:cs="Calibri"/>
        </w:rPr>
        <w:t xml:space="preserve"> (2).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При 0</w:t>
      </w:r>
      <w:proofErr w:type="gramStart"/>
      <w:r>
        <w:rPr>
          <w:rFonts w:ascii="Calibri" w:hAnsi="Calibri" w:cs="Calibri"/>
        </w:rPr>
        <w:t xml:space="preserve"> &lt; С</w:t>
      </w:r>
      <w:proofErr w:type="gramEnd"/>
      <w:r>
        <w:rPr>
          <w:rFonts w:ascii="Calibri" w:hAnsi="Calibri" w:cs="Calibri"/>
        </w:rPr>
        <w:t xml:space="preserve"> &lt; 40% скидка к страховому тарифу устанавливается в размере полученного по </w:t>
      </w:r>
      <w:hyperlink w:anchor="Par116" w:history="1">
        <w:r>
          <w:rPr>
            <w:rFonts w:ascii="Calibri" w:hAnsi="Calibri" w:cs="Calibri"/>
            <w:color w:val="0000FF"/>
          </w:rPr>
          <w:t>формуле (2)</w:t>
        </w:r>
      </w:hyperlink>
      <w:r>
        <w:rPr>
          <w:rFonts w:ascii="Calibri" w:hAnsi="Calibri" w:cs="Calibri"/>
        </w:rPr>
        <w:t xml:space="preserve"> значения (с учетом округления).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</w:t>
      </w:r>
      <w:proofErr w:type="gramStart"/>
      <w:r>
        <w:rPr>
          <w:rFonts w:ascii="Calibri" w:hAnsi="Calibri" w:cs="Calibri"/>
        </w:rPr>
        <w:t xml:space="preserve"> С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position w:val="-4"/>
        </w:rPr>
        <w:pict>
          <v:shape id="_x0000_i1037" type="#_x0000_t75" style="width:11.25pt;height:13.5pt">
            <v:imagedata r:id="rId27" o:title=""/>
          </v:shape>
        </w:pict>
      </w:r>
      <w:r>
        <w:rPr>
          <w:rFonts w:ascii="Calibri" w:hAnsi="Calibri" w:cs="Calibri"/>
        </w:rPr>
        <w:t xml:space="preserve"> 40% скидка устанавливается в размере 40%.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 наличии в предшествующем финансовом году страхового случая со смертельным исходом, произошедшего не по вине третьих лиц, страхователю на очередной финансовый год скидка не устанавливается.</w:t>
      </w: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575F" w:rsidRDefault="004F575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05EB1" w:rsidRDefault="00205EB1">
      <w:bookmarkStart w:id="14" w:name="_GoBack"/>
      <w:bookmarkEnd w:id="14"/>
    </w:p>
    <w:sectPr w:rsidR="00205EB1" w:rsidSect="006C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5F"/>
    <w:rsid w:val="00056476"/>
    <w:rsid w:val="0013480D"/>
    <w:rsid w:val="00205EB1"/>
    <w:rsid w:val="004F575F"/>
    <w:rsid w:val="00522CC8"/>
    <w:rsid w:val="005F53FD"/>
    <w:rsid w:val="0070747E"/>
    <w:rsid w:val="009D0757"/>
    <w:rsid w:val="00B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59BD354BFDBCFD76FF19B340454DE20929766846D0634429300A6262E70958283CB7ED8AFB217B67mCL" TargetMode="External"/><Relationship Id="rId13" Type="http://schemas.openxmlformats.org/officeDocument/2006/relationships/hyperlink" Target="consultantplus://offline/ref=5959BD354BFDBCFD76FF19B340454DE209297A634FD2634429300A6262E70958283CB7ED8AFB207867mCL" TargetMode="External"/><Relationship Id="rId18" Type="http://schemas.openxmlformats.org/officeDocument/2006/relationships/hyperlink" Target="consultantplus://offline/ref=5959BD354BFDBCFD76FF19B340454DE2092977624FDD634429300A6262E70958283CB7ED8AFB207867m8L" TargetMode="External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7" Type="http://schemas.openxmlformats.org/officeDocument/2006/relationships/hyperlink" Target="consultantplus://offline/ref=5959BD354BFDBCFD76FF19B340454DE20928796D4CDD634429300A6262E70958283CB7ED8AFB207967mCL" TargetMode="External"/><Relationship Id="rId12" Type="http://schemas.openxmlformats.org/officeDocument/2006/relationships/hyperlink" Target="consultantplus://offline/ref=5959BD354BFDBCFD76FF19B340454DE20929766846D0634429300A6262E70958283CB7ED8AFB217B67m2L" TargetMode="External"/><Relationship Id="rId17" Type="http://schemas.openxmlformats.org/officeDocument/2006/relationships/hyperlink" Target="consultantplus://offline/ref=5959BD354BFDBCFD76FF19B340454DE209297A634FD2634429300A6262E70958283CB7ED8AFB207867mCL" TargetMode="External"/><Relationship Id="rId25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59BD354BFDBCFD76FF19B340454DE20929766846D0634429300A6262E70958283CB7ED8AFB217A67mDL" TargetMode="External"/><Relationship Id="rId20" Type="http://schemas.openxmlformats.org/officeDocument/2006/relationships/image" Target="media/image1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59BD354BFDBCFD76FF19B340454DE20929766846D0634429300A6262E70958283CB7ED8AFB217B67mCL" TargetMode="External"/><Relationship Id="rId11" Type="http://schemas.openxmlformats.org/officeDocument/2006/relationships/hyperlink" Target="consultantplus://offline/ref=5959BD354BFDBCFD76FF19B340454DE209267D634ED6634429300A6262E70958283CB7ED8AFB207E67mBL" TargetMode="External"/><Relationship Id="rId24" Type="http://schemas.openxmlformats.org/officeDocument/2006/relationships/image" Target="media/image5.wmf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959BD354BFDBCFD76FF19B340454DE209287B634DDC634429300A6262E70958283CB7ED8AFB227F67mFL" TargetMode="External"/><Relationship Id="rId23" Type="http://schemas.openxmlformats.org/officeDocument/2006/relationships/image" Target="media/image4.wmf"/><Relationship Id="rId28" Type="http://schemas.openxmlformats.org/officeDocument/2006/relationships/image" Target="media/image9.wmf"/><Relationship Id="rId10" Type="http://schemas.openxmlformats.org/officeDocument/2006/relationships/hyperlink" Target="consultantplus://offline/ref=5959BD354BFDBCFD76FF19B340454DE20929766846D0634429300A6262E70958283CB7ED8AFB217B67m3L" TargetMode="External"/><Relationship Id="rId19" Type="http://schemas.openxmlformats.org/officeDocument/2006/relationships/hyperlink" Target="consultantplus://offline/ref=5959BD354BFDBCFD76FF19B340454DE20928796D4CDD634429300A6262E70958283CB7ED8AFB207A67m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59BD354BFDBCFD76FF19B340454DE20928796D4CDD634429300A6262E70958283CB7ED8AFB207967mDL" TargetMode="External"/><Relationship Id="rId14" Type="http://schemas.openxmlformats.org/officeDocument/2006/relationships/hyperlink" Target="consultantplus://offline/ref=5959BD354BFDBCFD76FF19B340454DE20929766846D0634429300A6262E70958283CB7ED8AFB217A67mDL" TargetMode="External"/><Relationship Id="rId22" Type="http://schemas.openxmlformats.org/officeDocument/2006/relationships/image" Target="media/image3.wmf"/><Relationship Id="rId27" Type="http://schemas.openxmlformats.org/officeDocument/2006/relationships/image" Target="media/image8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Танасова</dc:creator>
  <cp:lastModifiedBy>Татьяна Танасова</cp:lastModifiedBy>
  <cp:revision>1</cp:revision>
  <dcterms:created xsi:type="dcterms:W3CDTF">2015-08-20T11:38:00Z</dcterms:created>
  <dcterms:modified xsi:type="dcterms:W3CDTF">2015-08-20T11:39:00Z</dcterms:modified>
</cp:coreProperties>
</file>